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E8" w:rsidRDefault="0070132C"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-495300</wp:posOffset>
            </wp:positionV>
            <wp:extent cx="1059873" cy="9715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73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367" w:rsidRPr="0070132C" w:rsidRDefault="003B3367" w:rsidP="0070132C">
      <w:pPr>
        <w:jc w:val="center"/>
        <w:rPr>
          <w:b/>
          <w:sz w:val="32"/>
          <w:szCs w:val="32"/>
        </w:rPr>
      </w:pPr>
    </w:p>
    <w:p w:rsidR="003B3367" w:rsidRPr="0070132C" w:rsidRDefault="0070132C" w:rsidP="0070132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Post of Responsibilities </w:t>
      </w:r>
      <w:r w:rsidR="003B3367" w:rsidRPr="0070132C">
        <w:rPr>
          <w:rFonts w:asciiTheme="majorHAnsi" w:hAnsiTheme="majorHAnsi"/>
          <w:b/>
          <w:sz w:val="32"/>
          <w:szCs w:val="32"/>
        </w:rPr>
        <w:t>Appeal Form</w:t>
      </w:r>
    </w:p>
    <w:p w:rsidR="003B3367" w:rsidRPr="0070132C" w:rsidRDefault="003B3367">
      <w:pPr>
        <w:rPr>
          <w:rFonts w:asciiTheme="majorHAnsi" w:hAnsiTheme="majorHAnsi"/>
          <w:sz w:val="24"/>
          <w:szCs w:val="24"/>
        </w:rPr>
      </w:pPr>
      <w:r w:rsidRPr="0070132C">
        <w:rPr>
          <w:rFonts w:asciiTheme="majorHAnsi" w:hAnsiTheme="majorHAnsi"/>
          <w:sz w:val="24"/>
          <w:szCs w:val="24"/>
        </w:rPr>
        <w:t>RE: Cashel Community School</w:t>
      </w:r>
    </w:p>
    <w:p w:rsidR="003B3367" w:rsidRPr="003B3367" w:rsidRDefault="003B3367" w:rsidP="003B3367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The Appeal procedure for Posts of Responsibility is outlined in detail in the </w:t>
      </w:r>
      <w:hyperlink r:id="rId7" w:history="1">
        <w:r w:rsidRPr="003B3367">
          <w:rPr>
            <w:rFonts w:asciiTheme="majorHAnsi" w:eastAsia="Times New Roman" w:hAnsiTheme="majorHAnsi" w:cs="Helvetica"/>
            <w:b/>
            <w:bCs/>
            <w:sz w:val="24"/>
            <w:szCs w:val="24"/>
            <w:lang w:eastAsia="en-IE"/>
          </w:rPr>
          <w:t>DES CL 03/2018 Sections 15-21</w:t>
        </w:r>
      </w:hyperlink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. Details of the pro</w:t>
      </w:r>
      <w:r w:rsidRPr="0070132C">
        <w:rPr>
          <w:rFonts w:asciiTheme="majorHAnsi" w:eastAsia="Times New Roman" w:hAnsiTheme="majorHAnsi" w:cs="Helvetica"/>
          <w:sz w:val="24"/>
          <w:szCs w:val="24"/>
          <w:lang w:eastAsia="en-IE"/>
        </w:rPr>
        <w:t xml:space="preserve">cedure are available from </w:t>
      </w:r>
      <w:hyperlink r:id="rId8" w:history="1">
        <w:r w:rsidRPr="0070132C">
          <w:rPr>
            <w:rStyle w:val="Hyperlink"/>
            <w:rFonts w:asciiTheme="majorHAnsi" w:eastAsia="Times New Roman" w:hAnsiTheme="majorHAnsi" w:cs="Helvetica"/>
            <w:color w:val="auto"/>
            <w:sz w:val="24"/>
            <w:szCs w:val="24"/>
            <w:u w:val="none"/>
            <w:lang w:eastAsia="en-IE"/>
          </w:rPr>
          <w:t>jga@cashelcommunityschool.ie</w:t>
        </w:r>
      </w:hyperlink>
      <w:r w:rsidRPr="0070132C">
        <w:rPr>
          <w:rFonts w:asciiTheme="majorHAnsi" w:eastAsia="Times New Roman" w:hAnsiTheme="majorHAnsi" w:cs="Helvetica"/>
          <w:sz w:val="24"/>
          <w:szCs w:val="24"/>
          <w:lang w:eastAsia="en-IE"/>
        </w:rPr>
        <w:t xml:space="preserve"> </w:t>
      </w:r>
      <w:r w:rsidR="0070132C" w:rsidRPr="0070132C">
        <w:rPr>
          <w:rFonts w:asciiTheme="majorHAnsi" w:eastAsia="Times New Roman" w:hAnsiTheme="majorHAnsi" w:cs="Helvetica"/>
          <w:sz w:val="24"/>
          <w:szCs w:val="24"/>
          <w:lang w:eastAsia="en-IE"/>
        </w:rPr>
        <w:t>on request.</w:t>
      </w:r>
    </w:p>
    <w:p w:rsidR="003B3367" w:rsidRPr="003B3367" w:rsidRDefault="003B3367" w:rsidP="003B3367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An applicant may appeal on one or more of the following grounds in relation to an alleged breach of procedure:</w:t>
      </w:r>
    </w:p>
    <w:p w:rsidR="003B3367" w:rsidRPr="003B3367" w:rsidRDefault="003B3367" w:rsidP="003B3367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(a)       Pre-interview:</w:t>
      </w:r>
    </w:p>
    <w:p w:rsidR="003B3367" w:rsidRPr="003B3367" w:rsidRDefault="003B3367" w:rsidP="003B3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Failure to consult staff on the roles and responsibilities as set out in 4.1</w:t>
      </w:r>
    </w:p>
    <w:p w:rsidR="003B3367" w:rsidRPr="003B3367" w:rsidRDefault="003B3367" w:rsidP="003B3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Breach of the advertising rules</w:t>
      </w:r>
    </w:p>
    <w:p w:rsidR="003B3367" w:rsidRPr="003B3367" w:rsidRDefault="003B3367" w:rsidP="003B3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Non-notification about the vacancy to teachers on leave of absence/ secondment</w:t>
      </w:r>
    </w:p>
    <w:p w:rsidR="003B3367" w:rsidRPr="003B3367" w:rsidRDefault="003B3367" w:rsidP="003B3367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(b)       Composition of the Interview Board:</w:t>
      </w:r>
    </w:p>
    <w:p w:rsidR="003B3367" w:rsidRPr="003B3367" w:rsidRDefault="003B3367" w:rsidP="003B3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Lack of gender mix on Interview Board</w:t>
      </w:r>
    </w:p>
    <w:p w:rsidR="003B3367" w:rsidRPr="003B3367" w:rsidRDefault="003B3367" w:rsidP="003B3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Incorrect/ incomplete composition of the Interview Board</w:t>
      </w:r>
    </w:p>
    <w:p w:rsidR="003B3367" w:rsidRPr="003B3367" w:rsidRDefault="003B3367" w:rsidP="003B3367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(c)       Marking/Selection Criteria:</w:t>
      </w:r>
    </w:p>
    <w:p w:rsidR="003B3367" w:rsidRPr="003B3367" w:rsidRDefault="003B3367" w:rsidP="003B3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A computational error in the Interview Board marking sheets which makes a material difference to the outcome</w:t>
      </w:r>
    </w:p>
    <w:p w:rsidR="003B3367" w:rsidRPr="003B3367" w:rsidRDefault="003B3367" w:rsidP="003B3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A departure from the agreed selection criteria or marking scheme.</w:t>
      </w:r>
    </w:p>
    <w:p w:rsidR="003B3367" w:rsidRPr="003B3367" w:rsidRDefault="003B3367" w:rsidP="003B3367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Supporting evidence must be supplied in respect of grounds for appeal.</w:t>
      </w:r>
    </w:p>
    <w:p w:rsidR="003B3367" w:rsidRPr="003B3367" w:rsidRDefault="003B3367" w:rsidP="003B3367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The appeal Board consists of a nominee of the relevant union, a nominee of the relevant management body and an independent Chairperson from a panel agreed by the union and the management body.</w:t>
      </w:r>
    </w:p>
    <w:p w:rsidR="003B3367" w:rsidRPr="003B3367" w:rsidRDefault="003B3367" w:rsidP="003B3367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 xml:space="preserve">All application forms for posts of responsibility shall include reference to a candidate being able to </w:t>
      </w:r>
      <w:proofErr w:type="gramStart"/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access</w:t>
      </w:r>
      <w:r w:rsidRPr="0070132C">
        <w:rPr>
          <w:rFonts w:asciiTheme="majorHAnsi" w:eastAsia="Times New Roman" w:hAnsiTheme="majorHAnsi" w:cs="Helvetica"/>
          <w:sz w:val="24"/>
          <w:szCs w:val="24"/>
          <w:lang w:eastAsia="en-IE"/>
        </w:rPr>
        <w:t xml:space="preserve"> </w:t>
      </w: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,</w:t>
      </w:r>
      <w:r w:rsidRPr="003B3367">
        <w:rPr>
          <w:rFonts w:asciiTheme="majorHAnsi" w:eastAsia="Times New Roman" w:hAnsiTheme="majorHAnsi" w:cs="Helvetica"/>
          <w:b/>
          <w:bCs/>
          <w:sz w:val="24"/>
          <w:szCs w:val="24"/>
          <w:lang w:eastAsia="en-IE"/>
        </w:rPr>
        <w:t>upon</w:t>
      </w:r>
      <w:proofErr w:type="gramEnd"/>
      <w:r w:rsidRPr="003B3367">
        <w:rPr>
          <w:rFonts w:asciiTheme="majorHAnsi" w:eastAsia="Times New Roman" w:hAnsiTheme="majorHAnsi" w:cs="Helvetica"/>
          <w:b/>
          <w:bCs/>
          <w:sz w:val="24"/>
          <w:szCs w:val="24"/>
          <w:lang w:eastAsia="en-IE"/>
        </w:rPr>
        <w:t xml:space="preserve"> written request </w:t>
      </w: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all items listed (i) to (iv) below after s/he is notified of the outcome of the post of responsibility appointment process:</w:t>
      </w:r>
    </w:p>
    <w:p w:rsidR="003B3367" w:rsidRPr="003B3367" w:rsidRDefault="003B3367" w:rsidP="003B3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His/her marks under each selection criterion</w:t>
      </w:r>
    </w:p>
    <w:p w:rsidR="003B3367" w:rsidRPr="003B3367" w:rsidRDefault="003B3367" w:rsidP="003B3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The notes of the interview board pertaining specifically to the candidate alone</w:t>
      </w:r>
    </w:p>
    <w:p w:rsidR="003B3367" w:rsidRPr="003B3367" w:rsidRDefault="003B3367" w:rsidP="003B3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The marks of the recommended candidate(s) under each criterion</w:t>
      </w:r>
    </w:p>
    <w:p w:rsidR="003B3367" w:rsidRPr="003B3367" w:rsidRDefault="003B3367" w:rsidP="003B3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  <w:lang w:eastAsia="en-IE"/>
        </w:rPr>
      </w:pPr>
      <w:r w:rsidRPr="003B3367">
        <w:rPr>
          <w:rFonts w:asciiTheme="majorHAnsi" w:eastAsia="Times New Roman" w:hAnsiTheme="majorHAnsi" w:cs="Helvetica"/>
          <w:sz w:val="24"/>
          <w:szCs w:val="24"/>
          <w:lang w:eastAsia="en-IE"/>
        </w:rPr>
        <w:t>For the 2017/2018 and 2018/2019 school years, service in the school/scheme of the most senior applicant.</w:t>
      </w:r>
    </w:p>
    <w:p w:rsidR="003B3367" w:rsidRPr="0070132C" w:rsidRDefault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>
      <w:pPr>
        <w:rPr>
          <w:rFonts w:asciiTheme="majorHAnsi" w:hAnsiTheme="majorHAnsi"/>
          <w:sz w:val="24"/>
          <w:szCs w:val="24"/>
        </w:rPr>
      </w:pPr>
      <w:r w:rsidRPr="0070132C">
        <w:rPr>
          <w:rFonts w:asciiTheme="majorHAnsi" w:hAnsiTheme="majorHAnsi"/>
          <w:sz w:val="24"/>
          <w:szCs w:val="24"/>
        </w:rPr>
        <w:lastRenderedPageBreak/>
        <w:t>Please state the reasons for the appeal</w:t>
      </w:r>
    </w:p>
    <w:p w:rsidR="003B3367" w:rsidRPr="0070132C" w:rsidRDefault="003B3367">
      <w:pPr>
        <w:rPr>
          <w:rFonts w:asciiTheme="majorHAnsi" w:hAnsiTheme="majorHAnsi"/>
          <w:sz w:val="24"/>
          <w:szCs w:val="24"/>
        </w:rPr>
      </w:pPr>
      <w:r w:rsidRPr="0070132C">
        <w:rPr>
          <w:rFonts w:asciiTheme="majorHAnsi" w:hAnsiTheme="maj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F0C47" wp14:editId="3476EA9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838825" cy="2181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367" w:rsidRDefault="003B3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5pt;width:459.75pt;height:17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QskwIAALMFAAAOAAAAZHJzL2Uyb0RvYy54bWysVFFvGjEMfp+0/xDlfT2gpWOoR8VaMU1C&#10;bTWY+hxySYmaxFkSuGO/fk7uoND1pdNe7uz4s2N/sX113RhNtsIHBbak/bMeJcJyqJR9KunP5ezT&#10;iJIQma2YBitKuhOBXk8+friq3VgMYA26Ep5gEBvGtSvpOkY3LorA18KwcAZOWDRK8IZFVP1TUXlW&#10;Y3Sji0Gvd1nU4CvngYsQ8PS2NdJJji+l4PFeyiAi0SXF3GL++vxdpW8xuWLjJ8/cWvEuDfYPWRim&#10;LF56CHXLIiMbr/4KZRT3EEDGMw6mACkVF7kGrKbfe1XNYs2cyLUgOcEdaAr/Lyy/2z54oip8O0os&#10;M/hES9FE8hUa0k/s1C6MEbRwCIsNHidkdx7wMBXdSG/SH8shaEeedwduUzCOh8PR+Wg0GFLC0Tbo&#10;j/oDVDBO8eLufIjfBBiShJJ6fLzMKdvOQ2yhe0i6LYBW1UxpnZXUMOJGe7Jl+NQ65iQx+AlKW1KX&#10;9PJ82MuBT2wp9MF/pRl/7tI7QmE8bdN1IrdWl1aiqKUiS3GnRcJo+0NIpDYz8kaOjHNhD3lmdEJJ&#10;rOg9jh3+Jav3OLd1oEe+GWw8OBtlwbcsnVJbPe+plS0e3/Co7iTGZtV0LbKCaoed46GdvOD4TCHR&#10;cxbiA/M4atgsuD7iPX6kBnwd6CRK1uB/v3We8DgBaKWkxtEtafi1YV5Qor9bnI0v/YuLNOtZuRh+&#10;HqDijy2rY4vdmBvAlsH+x+yymPBR70XpwTzilpmmW9HELMe7Sxr34k1sFwpuKS6m0wzC6XYszu3C&#10;8RQ60ZsabNk8Mu+6Bo84G3ewH3I2ftXnLTZ5WphuIkiVhyAR3LLaEY+bIY9Rt8XS6jnWM+pl107+&#10;AAAA//8DAFBLAwQUAAYACAAAACEAgIKWn9sAAAAHAQAADwAAAGRycy9kb3ducmV2LnhtbEyPQU/D&#10;MAyF70j8h8hI3Fg6UFFbmk6ABhdObIiz13hJRJNUTdaVf485wcl6ftZ7n9vN4gcx05RcDArWqwIE&#10;hT5qF4yCj/3LTQUiZQwahxhIwTcl2HSXFy02Op7DO827bASHhNSgApvz2EiZekse0yqOFNg7xslj&#10;ZjkZqSc8c7gf5G1R3EuPLnCDxZGeLfVfu5NXsH0ytekrnOy20s7Ny+fxzbwqdX21PD6AyLTkv2P4&#10;xWd06JjpEE9BJzEo4Ecyb0ue7NbrugRxUHBXViXIrpX/+bsfAAAA//8DAFBLAQItABQABgAIAAAA&#10;IQC2gziS/gAAAOEBAAATAAAAAAAAAAAAAAAAAAAAAABbQ29udGVudF9UeXBlc10ueG1sUEsBAi0A&#10;FAAGAAgAAAAhADj9If/WAAAAlAEAAAsAAAAAAAAAAAAAAAAALwEAAF9yZWxzLy5yZWxzUEsBAi0A&#10;FAAGAAgAAAAhACq0hCyTAgAAswUAAA4AAAAAAAAAAAAAAAAALgIAAGRycy9lMm9Eb2MueG1sUEsB&#10;Ai0AFAAGAAgAAAAhAICClp/bAAAABwEAAA8AAAAAAAAAAAAAAAAA7QQAAGRycy9kb3ducmV2Lnht&#10;bFBLBQYAAAAABAAEAPMAAAD1BQAAAAA=&#10;" fillcolor="white [3201]" strokeweight=".5pt">
                <v:textbox>
                  <w:txbxContent>
                    <w:p w:rsidR="003B3367" w:rsidRDefault="003B3367"/>
                  </w:txbxContent>
                </v:textbox>
              </v:shape>
            </w:pict>
          </mc:Fallback>
        </mc:AlternateContent>
      </w: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  <w:r w:rsidRPr="0070132C">
        <w:rPr>
          <w:rFonts w:asciiTheme="majorHAnsi" w:hAnsiTheme="majorHAnsi"/>
          <w:sz w:val="24"/>
          <w:szCs w:val="24"/>
        </w:rPr>
        <w:t>Please insert supporting evidence</w:t>
      </w: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  <w:r w:rsidRPr="0070132C">
        <w:rPr>
          <w:rFonts w:asciiTheme="majorHAnsi" w:hAnsiTheme="maj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454AA" wp14:editId="2CD0C37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38825" cy="3133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367" w:rsidRDefault="003B3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5.1pt;width:459.75pt;height:24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bZlwIAALoFAAAOAAAAZHJzL2Uyb0RvYy54bWysVN9PGzEMfp+0/yHK+7j+oNBVXFEHYpqE&#10;AK1MPKe5hEYkcZakvev+epzc9SiMF6a93NnxZ8f+YvvsvDGabIUPCmxJh0cDSoTlUCn7WNJf91df&#10;ppSEyGzFNFhR0p0I9Hz++dNZ7WZiBGvQlfAEg9gwq11J1zG6WVEEvhaGhSNwwqJRgjcsouofi8qz&#10;GqMbXYwGg5OiBl85D1yEgKeXrZHOc3wpBY+3UgYRiS4p5hbz1+fvKn2L+RmbPXrm1op3abB/yMIw&#10;ZfHSPtQli4xsvPorlFHcQwAZjziYAqRUXOQasJrh4E01yzVzIteC5ATX0xT+X1h+s73zRFUlHVFi&#10;mcEnuhdNJN+gIaPETu3CDEFLh7DY4DG+8v484GEqupHepD+WQ9COPO96blMwjoeT6Xg6HU0o4Wgb&#10;D8fjU1QwfvHi7nyI3wUYkoSSeny8zCnbXofYQveQdFsAraorpXVWUsOIC+3JluFT65iTxOCvUNqS&#10;uqQn48kgB35lS6F7/5Vm/KlL7wCF8bRN14ncWl1aiaKWiizFnRYJo+1PIZHazMg7OTLOhe3zzOiE&#10;kljRRxw7/EtWH3Fu60CPfDPY2DsbZcG3LL2mtnraUytbPL7hQd1JjM2qyT3Vd8oKqh02kId2AIPj&#10;Vwr5vmYh3jGPE4c9g1sk3uJHasBHgk6iZA3+z3vnCY+DgFZKapzgkobfG+YFJfqHxRH5Ojw+TiOf&#10;lePJ6QgVf2hZHVrsxlwAds4Q95XjWUz4qPei9GAecNks0q1oYpbj3SWNe/EitnsFlxUXi0UG4ZA7&#10;Fq/t0vEUOrGc+uy+eWDedX0ecURuYD/rbPam3Vts8rSw2ESQKs9C4rllteMfF0Sepm6ZpQ10qGfU&#10;y8qdPwMAAP//AwBQSwMEFAAGAAgAAAAhAHrqKyrbAAAABwEAAA8AAABkcnMvZG93bnJldi54bWxM&#10;j8FOwzAQRO9I/IO1SNyo3aJCEuJUgAoXTi2I8zZ2bYt4HdluGv4ec4Ljzoxm3rab2Q9s0jG5QBKW&#10;CwFMUx+UIyPh4/3lpgKWMpLCIZCW8K0TbLrLixYbFc6009M+G1ZKKDUoweY8Npyn3mqPaRFGTcU7&#10;hugxlzMariKeS7kf+EqIO+7RUVmwOOpnq/uv/clL2D6Z2vQVRrutlHPT/Hl8M69SXl/Njw/Asp7z&#10;Xxh+8Qs6dIXpEE6kEhsklEdyUcUKWHHrZb0GdpCwFrf3wLuW/+fvfgAAAP//AwBQSwECLQAUAAYA&#10;CAAAACEAtoM4kv4AAADhAQAAEwAAAAAAAAAAAAAAAAAAAAAAW0NvbnRlbnRfVHlwZXNdLnhtbFBL&#10;AQItABQABgAIAAAAIQA4/SH/1gAAAJQBAAALAAAAAAAAAAAAAAAAAC8BAABfcmVscy8ucmVsc1BL&#10;AQItABQABgAIAAAAIQCiw8bZlwIAALoFAAAOAAAAAAAAAAAAAAAAAC4CAABkcnMvZTJvRG9jLnht&#10;bFBLAQItABQABgAIAAAAIQB66isq2wAAAAcBAAAPAAAAAAAAAAAAAAAAAPEEAABkcnMvZG93bnJl&#10;di54bWxQSwUGAAAAAAQABADzAAAA+QUAAAAA&#10;" fillcolor="white [3201]" strokeweight=".5pt">
                <v:textbox>
                  <w:txbxContent>
                    <w:p w:rsidR="003B3367" w:rsidRDefault="003B3367"/>
                  </w:txbxContent>
                </v:textbox>
              </v:shape>
            </w:pict>
          </mc:Fallback>
        </mc:AlternateContent>
      </w: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70132C" w:rsidRDefault="003B3367" w:rsidP="003B3367">
      <w:pPr>
        <w:rPr>
          <w:rFonts w:asciiTheme="majorHAnsi" w:hAnsiTheme="majorHAnsi"/>
          <w:sz w:val="24"/>
          <w:szCs w:val="24"/>
        </w:rPr>
      </w:pPr>
    </w:p>
    <w:p w:rsidR="003B3367" w:rsidRPr="003B3367" w:rsidRDefault="003B3367" w:rsidP="003B336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PSMT"/>
          <w:sz w:val="24"/>
          <w:szCs w:val="24"/>
          <w:lang w:eastAsia="en-IE"/>
        </w:rPr>
      </w:pPr>
      <w:r w:rsidRPr="0070132C">
        <w:rPr>
          <w:rFonts w:asciiTheme="majorHAnsi" w:eastAsia="Times New Roman" w:hAnsiTheme="majorHAnsi" w:cs="TimesNewRomanPSMT"/>
          <w:sz w:val="24"/>
          <w:szCs w:val="24"/>
          <w:lang w:eastAsia="en-IE"/>
        </w:rPr>
        <w:t xml:space="preserve">Please be advised </w:t>
      </w:r>
      <w:proofErr w:type="gramStart"/>
      <w:r w:rsidRPr="003B3367">
        <w:rPr>
          <w:rFonts w:asciiTheme="majorHAnsi" w:eastAsia="Times New Roman" w:hAnsiTheme="majorHAnsi" w:cs="TimesNewRomanPSMT"/>
          <w:sz w:val="24"/>
          <w:szCs w:val="24"/>
          <w:lang w:eastAsia="en-IE"/>
        </w:rPr>
        <w:t>The</w:t>
      </w:r>
      <w:proofErr w:type="gramEnd"/>
      <w:r w:rsidRPr="003B3367">
        <w:rPr>
          <w:rFonts w:asciiTheme="majorHAnsi" w:eastAsia="Times New Roman" w:hAnsiTheme="majorHAnsi" w:cs="TimesNewRomanPSMT"/>
          <w:sz w:val="24"/>
          <w:szCs w:val="24"/>
          <w:lang w:eastAsia="en-IE"/>
        </w:rPr>
        <w:t xml:space="preserve"> final date and time (4.00 p.m.) for notification of appeals to the Secretary to the</w:t>
      </w:r>
      <w:r w:rsidRPr="0070132C">
        <w:rPr>
          <w:rFonts w:asciiTheme="majorHAnsi" w:eastAsia="Times New Roman" w:hAnsiTheme="majorHAnsi" w:cs="TimesNewRomanPSMT"/>
          <w:sz w:val="24"/>
          <w:szCs w:val="24"/>
          <w:lang w:eastAsia="en-IE"/>
        </w:rPr>
        <w:t xml:space="preserve"> </w:t>
      </w:r>
      <w:r w:rsidRPr="003B3367">
        <w:rPr>
          <w:rFonts w:asciiTheme="majorHAnsi" w:eastAsia="Times New Roman" w:hAnsiTheme="majorHAnsi" w:cs="TimesNewRomanPSMT"/>
          <w:sz w:val="24"/>
          <w:szCs w:val="24"/>
          <w:lang w:eastAsia="en-IE"/>
        </w:rPr>
        <w:t>Board of Management/Manager/CE shall be stated in the letter outlining the outcome of</w:t>
      </w:r>
      <w:r w:rsidRPr="0070132C">
        <w:rPr>
          <w:rFonts w:asciiTheme="majorHAnsi" w:eastAsia="Times New Roman" w:hAnsiTheme="majorHAnsi" w:cs="TimesNewRomanPSMT"/>
          <w:sz w:val="24"/>
          <w:szCs w:val="24"/>
          <w:lang w:eastAsia="en-IE"/>
        </w:rPr>
        <w:t xml:space="preserve"> </w:t>
      </w:r>
      <w:r w:rsidRPr="003B3367">
        <w:rPr>
          <w:rFonts w:asciiTheme="majorHAnsi" w:eastAsia="Times New Roman" w:hAnsiTheme="majorHAnsi" w:cs="TimesNewRomanPSMT"/>
          <w:sz w:val="24"/>
          <w:szCs w:val="24"/>
          <w:lang w:eastAsia="en-IE"/>
        </w:rPr>
        <w:t xml:space="preserve">the appointment process. The date will become known as the </w:t>
      </w:r>
      <w:r w:rsidRPr="003B3367">
        <w:rPr>
          <w:rFonts w:asciiTheme="majorHAnsi" w:eastAsia="Times New Roman" w:hAnsiTheme="majorHAnsi" w:cs="TimesNewRomanPS-BoldItalicMT"/>
          <w:b/>
          <w:bCs/>
          <w:i/>
          <w:iCs/>
          <w:sz w:val="24"/>
          <w:szCs w:val="24"/>
          <w:lang w:eastAsia="en-IE"/>
        </w:rPr>
        <w:t xml:space="preserve">Appeal Date </w:t>
      </w:r>
      <w:r w:rsidRPr="003B3367">
        <w:rPr>
          <w:rFonts w:asciiTheme="majorHAnsi" w:eastAsia="Times New Roman" w:hAnsiTheme="majorHAnsi" w:cs="TimesNewRomanPSMT"/>
          <w:sz w:val="24"/>
          <w:szCs w:val="24"/>
          <w:lang w:eastAsia="en-IE"/>
        </w:rPr>
        <w:t>and will be at</w:t>
      </w:r>
      <w:r w:rsidRPr="0070132C">
        <w:rPr>
          <w:rFonts w:asciiTheme="majorHAnsi" w:eastAsia="Times New Roman" w:hAnsiTheme="majorHAnsi" w:cs="TimesNewRomanPSMT"/>
          <w:sz w:val="24"/>
          <w:szCs w:val="24"/>
          <w:lang w:eastAsia="en-IE"/>
        </w:rPr>
        <w:t xml:space="preserve"> </w:t>
      </w:r>
      <w:r w:rsidRPr="003B3367">
        <w:rPr>
          <w:rFonts w:asciiTheme="majorHAnsi" w:eastAsia="Times New Roman" w:hAnsiTheme="majorHAnsi" w:cs="TimesNewRomanPSMT"/>
          <w:sz w:val="24"/>
          <w:szCs w:val="24"/>
          <w:lang w:eastAsia="en-IE"/>
        </w:rPr>
        <w:t>4.00 p.m. on the seventh school day, with day one commencing on the day after the</w:t>
      </w:r>
      <w:r w:rsidRPr="0070132C">
        <w:rPr>
          <w:rFonts w:asciiTheme="majorHAnsi" w:eastAsia="Times New Roman" w:hAnsiTheme="majorHAnsi" w:cs="TimesNewRomanPSMT"/>
          <w:sz w:val="24"/>
          <w:szCs w:val="24"/>
          <w:lang w:eastAsia="en-IE"/>
        </w:rPr>
        <w:t xml:space="preserve"> </w:t>
      </w:r>
      <w:r w:rsidRPr="003B3367">
        <w:rPr>
          <w:rFonts w:asciiTheme="majorHAnsi" w:eastAsia="Times New Roman" w:hAnsiTheme="majorHAnsi" w:cs="TimesNewRomanPSMT"/>
          <w:sz w:val="24"/>
          <w:szCs w:val="24"/>
          <w:lang w:eastAsia="en-IE"/>
        </w:rPr>
        <w:t>outcome of the process is issued. If no appeal is received within this timeframe, the Board</w:t>
      </w:r>
      <w:r w:rsidRPr="0070132C">
        <w:rPr>
          <w:rFonts w:asciiTheme="majorHAnsi" w:eastAsia="Times New Roman" w:hAnsiTheme="majorHAnsi" w:cs="TimesNewRomanPSMT"/>
          <w:sz w:val="24"/>
          <w:szCs w:val="24"/>
          <w:lang w:eastAsia="en-IE"/>
        </w:rPr>
        <w:t xml:space="preserve"> of Management </w:t>
      </w:r>
      <w:r w:rsidRPr="003B3367">
        <w:rPr>
          <w:rFonts w:asciiTheme="majorHAnsi" w:eastAsia="Times New Roman" w:hAnsiTheme="majorHAnsi" w:cs="TimesNewRomanPSMT"/>
          <w:sz w:val="24"/>
          <w:szCs w:val="24"/>
          <w:lang w:eastAsia="en-IE"/>
        </w:rPr>
        <w:t>shall proceed with the appointment of the recommended</w:t>
      </w:r>
      <w:r w:rsidR="0070132C">
        <w:rPr>
          <w:rFonts w:asciiTheme="majorHAnsi" w:eastAsia="Times New Roman" w:hAnsiTheme="majorHAnsi" w:cs="TimesNewRomanPSMT"/>
          <w:sz w:val="24"/>
          <w:szCs w:val="24"/>
          <w:lang w:eastAsia="en-IE"/>
        </w:rPr>
        <w:t xml:space="preserve"> </w:t>
      </w:r>
      <w:bookmarkStart w:id="0" w:name="_GoBack"/>
      <w:bookmarkEnd w:id="0"/>
      <w:r w:rsidRPr="003B3367">
        <w:rPr>
          <w:rFonts w:ascii="Calibri" w:eastAsia="Times New Roman" w:hAnsi="Calibri" w:cs="TimesNewRomanPSMT"/>
          <w:sz w:val="24"/>
          <w:szCs w:val="24"/>
          <w:lang w:eastAsia="en-IE"/>
        </w:rPr>
        <w:t>candidate.</w:t>
      </w:r>
    </w:p>
    <w:p w:rsidR="003B3367" w:rsidRPr="003B3367" w:rsidRDefault="003B3367" w:rsidP="003B3367"/>
    <w:sectPr w:rsidR="003B3367" w:rsidRPr="003B3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63A5"/>
    <w:multiLevelType w:val="multilevel"/>
    <w:tmpl w:val="E456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21CD6"/>
    <w:multiLevelType w:val="multilevel"/>
    <w:tmpl w:val="F0DE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B1F23"/>
    <w:multiLevelType w:val="multilevel"/>
    <w:tmpl w:val="88B6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33BB1"/>
    <w:multiLevelType w:val="multilevel"/>
    <w:tmpl w:val="89BE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67"/>
    <w:rsid w:val="003B3367"/>
    <w:rsid w:val="003B65E8"/>
    <w:rsid w:val="0070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@cashelcommunityschool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ducation.ie/en/Circulars-and-Forms/Active-Circulars/cl0003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Gallagher</dc:creator>
  <cp:lastModifiedBy>John Gallagher</cp:lastModifiedBy>
  <cp:revision>1</cp:revision>
  <cp:lastPrinted>2018-05-20T11:25:00Z</cp:lastPrinted>
  <dcterms:created xsi:type="dcterms:W3CDTF">2018-05-20T11:10:00Z</dcterms:created>
  <dcterms:modified xsi:type="dcterms:W3CDTF">2018-05-20T11:25:00Z</dcterms:modified>
</cp:coreProperties>
</file>